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6BB4" w14:textId="77777777" w:rsidR="001F7892" w:rsidRPr="00FB3A89" w:rsidRDefault="00103C1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PRZEPISY SĘDZIOWANIA NA ZAWODACH NORDIC WALKING </w:t>
      </w:r>
    </w:p>
    <w:p w14:paraId="5B6488DE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Na trasie będą rozmieszczeni sędziowie (w tym Sędzia Główny), zadaniem których będzie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egzekwowanie prawidłowej techniki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3A89">
        <w:rPr>
          <w:rFonts w:asciiTheme="minorHAnsi" w:hAnsiTheme="minorHAnsi" w:cstheme="minorHAnsi"/>
          <w:sz w:val="22"/>
          <w:szCs w:val="22"/>
        </w:rPr>
        <w:t xml:space="preserve">wśród wszystkich zawodników uczestniczących w marszu.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Sędzia Główny </w:t>
      </w:r>
      <w:r w:rsidRPr="00FB3A89">
        <w:rPr>
          <w:rFonts w:asciiTheme="minorHAnsi" w:hAnsiTheme="minorHAnsi" w:cstheme="minorHAnsi"/>
          <w:sz w:val="22"/>
          <w:szCs w:val="22"/>
        </w:rPr>
        <w:t xml:space="preserve">zostanie przedstawiony wszystkim zawodnikom przed startem, w dniu zawodów. </w:t>
      </w:r>
    </w:p>
    <w:p w14:paraId="3AE39A7E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Definicja marszu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B3A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AAB88D" w14:textId="77777777" w:rsidR="001F7892" w:rsidRPr="00FB3A89" w:rsidRDefault="00103C16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Przemieszczanie się ruchem naprzemiennym rąk i nóg do przodu z zachowaniem stałego kontaktu przynajmniej jednej ze stóp z podłożem, z jednoczesnym odpychaniem się kijami do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wbijanymi w podłoże pod kątem ostrym. W marszu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nie może wystąpić tzw. „faza lotu”, czyli chwilowy brak styczności z podłożem.</w:t>
      </w:r>
    </w:p>
    <w:p w14:paraId="5876DED3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Prawidłowa technika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3A89">
        <w:rPr>
          <w:rFonts w:asciiTheme="minorHAnsi" w:hAnsiTheme="minorHAnsi" w:cstheme="minorHAnsi"/>
          <w:sz w:val="22"/>
          <w:szCs w:val="22"/>
        </w:rPr>
        <w:t xml:space="preserve">i egzekwowane podczas </w:t>
      </w:r>
      <w:r w:rsidRPr="00FB3A89">
        <w:rPr>
          <w:rFonts w:asciiTheme="minorHAnsi" w:hAnsiTheme="minorHAnsi" w:cstheme="minorHAnsi"/>
          <w:bCs/>
          <w:sz w:val="22"/>
          <w:szCs w:val="22"/>
        </w:rPr>
        <w:t>marszu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3A89">
        <w:rPr>
          <w:rFonts w:asciiTheme="minorHAnsi" w:hAnsiTheme="minorHAnsi" w:cstheme="minorHAnsi"/>
          <w:sz w:val="22"/>
          <w:szCs w:val="22"/>
        </w:rPr>
        <w:t>elementy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34F2A2E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płaski, stosunkowo długi krok, kontakt stopy z podłożem przez cały czas trwania marszu; </w:t>
      </w:r>
    </w:p>
    <w:p w14:paraId="6F120545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koordynacja krzyżowa – naprzemienna praca ramion i nóg; </w:t>
      </w:r>
    </w:p>
    <w:p w14:paraId="21610AC0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obszerna równoległa praca ramion podkreślająca minięcie dłonią biodra w płaszczyźnie strzałkowej – w przód i w tył,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nie na boki!; </w:t>
      </w:r>
    </w:p>
    <w:p w14:paraId="22E623C5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odpowiedni ruch ramienia – z barku; </w:t>
      </w:r>
    </w:p>
    <w:p w14:paraId="71F702FF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z przodu dłoń jest całkowicie zamknięta na kiju, na wysokości biodra następuje jej otwarcie i wypuszczenie kija z dłoni;</w:t>
      </w:r>
    </w:p>
    <w:p w14:paraId="2C3AE6F3" w14:textId="77777777" w:rsidR="001F7892" w:rsidRPr="00FB3A89" w:rsidRDefault="00103C1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aktywne osadzenie kija wbijanego w podłoże ukośnie - do tyłu, na odcinku pomiędzy piętą przedniej stopy i palcami tylnej stopy i wyraźne energiczne odepchnięcie kija, towarzyszące poszczególnym krokom. </w:t>
      </w:r>
    </w:p>
    <w:p w14:paraId="6ABACAEC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Podczas marszu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b/>
          <w:bCs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 zabronione jest: </w:t>
      </w:r>
    </w:p>
    <w:p w14:paraId="1B07A6FD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podbieganie,</w:t>
      </w:r>
    </w:p>
    <w:p w14:paraId="0F9DF6EE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marsz z uniesionymi kijami,</w:t>
      </w:r>
    </w:p>
    <w:p w14:paraId="3A16B2B9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brak wbicia i odepchnięcia kijem (markowanie użycia kija),</w:t>
      </w:r>
    </w:p>
    <w:p w14:paraId="13D327C5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nadmierne uginanie łokcia przy wbijaniu i odpychaniu się kijem,</w:t>
      </w:r>
    </w:p>
    <w:p w14:paraId="26A96BC3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obniżanie środka ciężkości (uginanie kolan),</w:t>
      </w:r>
    </w:p>
    <w:p w14:paraId="4C97DE59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nadmierne pochylanie ciała w przód,</w:t>
      </w:r>
    </w:p>
    <w:p w14:paraId="7939D33F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marsz inochodem tzn. jednostronny,</w:t>
      </w:r>
    </w:p>
    <w:p w14:paraId="3A6A0CB3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skracanie trasy,</w:t>
      </w:r>
    </w:p>
    <w:p w14:paraId="11760FC3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utrudnianie wyprzedzania,</w:t>
      </w:r>
    </w:p>
    <w:p w14:paraId="7947726B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niesportowe zachowanie,</w:t>
      </w:r>
    </w:p>
    <w:p w14:paraId="44FD771F" w14:textId="77777777" w:rsidR="001F7892" w:rsidRPr="00FB3A89" w:rsidRDefault="00103C16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używanie wulgaryzmów. </w:t>
      </w:r>
    </w:p>
    <w:p w14:paraId="4ACFAAAA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Każdy zawodnik zobowiązany jest do startu z prawidłowymi kijami do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. Podczas marszu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używa się specjalnie zaprojektowanych do tego celu kijów, </w:t>
      </w:r>
      <w:r w:rsidRPr="00FB3A89">
        <w:rPr>
          <w:rFonts w:asciiTheme="minorHAnsi" w:hAnsiTheme="minorHAnsi" w:cstheme="minorHAnsi"/>
          <w:bCs/>
          <w:sz w:val="22"/>
          <w:szCs w:val="22"/>
        </w:rPr>
        <w:t>wyposażonych</w:t>
      </w:r>
      <w:r w:rsidRPr="00FB3A89">
        <w:rPr>
          <w:rFonts w:asciiTheme="minorHAnsi" w:hAnsiTheme="minorHAnsi" w:cstheme="minorHAnsi"/>
          <w:sz w:val="22"/>
          <w:szCs w:val="22"/>
        </w:rPr>
        <w:t xml:space="preserve"> w odpowiedni splot pasków (tzw. rękawiczkę), umożliwiających odepchnięcie się z kija przy otwartej dłoni. Długość kija dobierana jest w taki sposób, aby przy wyprostowanej sylwetce postawiony pionowo na podłożu i wbity w nawierzchnię kij opierał przedramię tworząc w stawie łokciowym kąt 90 stopni z akceptowalnym odchyleniem +/- 5 stopni. </w:t>
      </w:r>
    </w:p>
    <w:p w14:paraId="1BD323C3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Korzystanie z urządzeń elektronicznych dowolnego typu jest dozwolone pod warunkiem zachowania przez zawodników prawidłowej techniki marszu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, nie przeszkadza w </w:t>
      </w:r>
      <w:r w:rsidRPr="00FB3A89">
        <w:rPr>
          <w:rFonts w:asciiTheme="minorHAnsi" w:hAnsiTheme="minorHAnsi" w:cstheme="minorHAnsi"/>
          <w:sz w:val="22"/>
          <w:szCs w:val="22"/>
        </w:rPr>
        <w:lastRenderedPageBreak/>
        <w:t>marszu innych zawodników oraz nie utrudnia komunikacji między zawodnikami, sędziami i służbami porządkowymi. W przypadku konieczności obsługi urządzenia, zawodnik zobowiązany jest do zatrzymania się w bezpiecznym miejscu i wypięcia kijów, tak aby nie utrudniać marszu innych zawodników.</w:t>
      </w:r>
    </w:p>
    <w:p w14:paraId="0E0FA7D1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Możliwe jest wyprzedzanie zawodnika prawą lub lewą stroną. Osoba wyprzedzająca dla bezpieczeństwa powinna zwrócić uwagę osobie wyprzedzanej jasnym komunikatem, z której strony będzie wyprzedzać daną osobę. Wyprzedzanie zawodnika nie powinno skutkować zmianą bądź utrudnieniem w jego torze marszu. </w:t>
      </w:r>
    </w:p>
    <w:p w14:paraId="09A5A457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Przy każdej zmianie rodzaju podłoża dopuszczalna jest zmiana końcówek w strefie o długości ok. 30 m, w której zawodnik może nałożyć lub zdjąć końcówki na kije. W tej strefie zawodnicy mogą nie używać kijów zgodnie z techniką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3A89">
        <w:rPr>
          <w:rFonts w:asciiTheme="minorHAnsi" w:hAnsiTheme="minorHAnsi" w:cstheme="minorHAnsi"/>
          <w:sz w:val="22"/>
          <w:szCs w:val="22"/>
        </w:rPr>
        <w:t>walking</w:t>
      </w:r>
      <w:proofErr w:type="spellEnd"/>
      <w:r w:rsidRPr="00FB3A89">
        <w:rPr>
          <w:rFonts w:asciiTheme="minorHAnsi" w:hAnsiTheme="minorHAnsi" w:cstheme="minorHAnsi"/>
          <w:sz w:val="22"/>
          <w:szCs w:val="22"/>
        </w:rPr>
        <w:t xml:space="preserve"> - ruch ramion oraz używanie kijów nie będą oceniane przez sędziów. </w:t>
      </w:r>
      <w:r w:rsidRPr="00FB3A89">
        <w:rPr>
          <w:rFonts w:asciiTheme="minorHAnsi" w:hAnsiTheme="minorHAnsi" w:cstheme="minorHAnsi"/>
          <w:b/>
          <w:sz w:val="22"/>
          <w:szCs w:val="22"/>
        </w:rPr>
        <w:t>Zabronione jest podbieganie – wolno jedynie maszerować!</w:t>
      </w:r>
    </w:p>
    <w:p w14:paraId="329E65EA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Nie jest zabronione korzystanie z własnych pojemników na wodę. W przypadku konieczności nawodnienia, zawodnik zobowiązany jest do zatrzymania się w bezpiecznym miejscu, tak, aby nie utrudniać marszu innych zawodników i wypięcia kijów.</w:t>
      </w:r>
    </w:p>
    <w:p w14:paraId="01B8805A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Trenerzy nie mogą towarzyszyć uczestnikom na trasie, co grozi natychmiastową dyskwalifikacją uczestnika. </w:t>
      </w:r>
    </w:p>
    <w:p w14:paraId="1E20B4F8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W przypadku nieprawidłowego zachowania (naruszenia zasad) uczestnik może otrzymać ostrzeżenie lub zostać ukarany (żółta / czerwona kartka).</w:t>
      </w:r>
    </w:p>
    <w:p w14:paraId="67CB5161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Każdy z Sędziów Zawodów posiada uprawnienia do udzielania upomnień i kar (żółtych i czerwonych kartek) </w:t>
      </w:r>
      <w:r w:rsidRPr="00FB3A89">
        <w:rPr>
          <w:rFonts w:asciiTheme="minorHAnsi" w:hAnsiTheme="minorHAnsi" w:cstheme="minorHAnsi"/>
          <w:sz w:val="22"/>
          <w:szCs w:val="22"/>
        </w:rPr>
        <w:t>w czasie trwania rywalizacji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DFDEB6C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Sędziowie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zobowiązani są </w:t>
      </w:r>
      <w:r w:rsidRPr="00FB3A89">
        <w:rPr>
          <w:rFonts w:asciiTheme="minorHAnsi" w:hAnsiTheme="minorHAnsi" w:cstheme="minorHAnsi"/>
          <w:sz w:val="22"/>
          <w:szCs w:val="22"/>
        </w:rPr>
        <w:t>do udzielania upomnień i kar słownie, bez potrzeby zatrzymywania zawodnika, chyba, że wymaga tego bezpieczeństwo na trasie.</w:t>
      </w:r>
    </w:p>
    <w:p w14:paraId="113D91BD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Brak reakcji na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>komunikat sędziego</w:t>
      </w:r>
      <w:r w:rsidRPr="00FB3A89">
        <w:rPr>
          <w:rFonts w:asciiTheme="minorHAnsi" w:hAnsiTheme="minorHAnsi" w:cstheme="minorHAnsi"/>
          <w:sz w:val="22"/>
          <w:szCs w:val="22"/>
        </w:rPr>
        <w:t xml:space="preserve"> nie skutkuje brakiem otrzymania ostrzeżenia bądź kary. </w:t>
      </w:r>
    </w:p>
    <w:p w14:paraId="020CAABF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Sędziowie mogą udzielać zawodnikom edukacyjnych wskazówek, informacja taka nie zawiera zwrotu „ostrzeżenie”, „żółta kartka”, „czerwona kartka” i nie niesie żadnych negatywnych skutków dla zawodnika. </w:t>
      </w:r>
    </w:p>
    <w:p w14:paraId="3AFF25DF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Sędziowie mogą poruszać się po trasie oraz używać urządzeń do komunikacji z Sędzią Głównym (telefony komórkowe, krótkofalówki), urządzeń optycznych (lornetki) oraz rejestrujących (kamery, aparaty fotograficzne).</w:t>
      </w:r>
    </w:p>
    <w:p w14:paraId="695CB69A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Powodem udzielenia upomnienia bądź kary może być również materiał filmowy dostarczony sędziemu przez osoby postronne.</w:t>
      </w:r>
    </w:p>
    <w:p w14:paraId="24D61394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ŻÓŁTA KARTKA </w:t>
      </w:r>
      <w:r w:rsidRPr="00FB3A89">
        <w:rPr>
          <w:rFonts w:asciiTheme="minorHAnsi" w:hAnsiTheme="minorHAnsi" w:cstheme="minorHAnsi"/>
          <w:sz w:val="22"/>
          <w:szCs w:val="22"/>
        </w:rPr>
        <w:t xml:space="preserve">jest przyznawana za ocenione przez sędziego złamanie zasad ujętych w ust. 3, w tym: </w:t>
      </w:r>
    </w:p>
    <w:p w14:paraId="43B9E23E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ograniczoną pracę ramion (praca z samego łokcia - zgięcie ręki w stawie łokciowym bez ruchomości stawu ramiennego);</w:t>
      </w:r>
    </w:p>
    <w:p w14:paraId="4D293752" w14:textId="77777777" w:rsidR="001F7892" w:rsidRPr="00FB3A89" w:rsidRDefault="00103C16">
      <w:pPr>
        <w:pStyle w:val="Akapitzlist"/>
        <w:numPr>
          <w:ilvl w:val="0"/>
          <w:numId w:val="4"/>
        </w:numPr>
        <w:spacing w:after="0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ograniczoną pracę ramion w płaszczyźnie strzałkowej (nierównoległe prowadzenie kijów w stosunku do bioder);</w:t>
      </w:r>
    </w:p>
    <w:p w14:paraId="413C139D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lastRenderedPageBreak/>
        <w:t>brak wyraźnej pracy dłoni i ramienia za biodro;</w:t>
      </w:r>
    </w:p>
    <w:p w14:paraId="38C94B2C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marsz z otwartymi dłońmi;</w:t>
      </w:r>
    </w:p>
    <w:p w14:paraId="1D55A85C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marsz na ugiętych kolanach (nadmiernie obniżony środek ciężkości ciała);</w:t>
      </w:r>
    </w:p>
    <w:p w14:paraId="7A288EEF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uprawianie chodu sportowego (technika ruchu stawami biodrowymi);</w:t>
      </w:r>
    </w:p>
    <w:p w14:paraId="01006BE7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osadzanie kija (wbicie) za stopą nogi zakrocznej;</w:t>
      </w:r>
    </w:p>
    <w:p w14:paraId="083820D0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braku odbicia (odepchnięcia) z kija (markowanie użycia kija);</w:t>
      </w:r>
    </w:p>
    <w:p w14:paraId="6C4F7F43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zbyt duże pochylenie ciała w przód;</w:t>
      </w:r>
    </w:p>
    <w:p w14:paraId="40D21F6B" w14:textId="77777777" w:rsidR="001F7892" w:rsidRPr="00FB3A89" w:rsidRDefault="00103C16">
      <w:pPr>
        <w:pStyle w:val="Akapitzlist"/>
        <w:numPr>
          <w:ilvl w:val="0"/>
          <w:numId w:val="4"/>
        </w:numPr>
        <w:spacing w:after="27" w:line="276" w:lineRule="auto"/>
        <w:ind w:left="1134" w:hanging="567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utrudnianie manewru wyprzedzania.</w:t>
      </w:r>
    </w:p>
    <w:p w14:paraId="580C27A8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Zawodnik jest informowany o przyznaniu żółtej kartki przez sędziego poprzez ustny komunikat zawierający zwrot „żółta kartka”, skierowany do zawodnika (wywołanego po numerze startowym), pokazanie mu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ŻÓŁTEJ KARTKI </w:t>
      </w:r>
      <w:r w:rsidRPr="00FB3A89">
        <w:rPr>
          <w:rFonts w:asciiTheme="minorHAnsi" w:hAnsiTheme="minorHAnsi" w:cstheme="minorHAnsi"/>
          <w:sz w:val="22"/>
          <w:szCs w:val="22"/>
        </w:rPr>
        <w:t xml:space="preserve">i poinformowanie zawodnika o rodzaju popełnionego błędu. </w:t>
      </w:r>
    </w:p>
    <w:p w14:paraId="655A456D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>Uwaga!!! Żółta kartka skutkuje doliczeniem 30 sekund do czasu pokonania dystansu. Wielokrotne otrzymanie żółtej kartki nie skutkuje otrzymaniem czerwonej kartki.</w:t>
      </w:r>
    </w:p>
    <w:p w14:paraId="532647EE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b/>
          <w:bCs/>
          <w:sz w:val="22"/>
          <w:szCs w:val="22"/>
        </w:rPr>
        <w:t>CZERWONA KARTKA – dyskwalifikacja zawodnika</w:t>
      </w:r>
      <w:r w:rsidRPr="00FB3A89">
        <w:rPr>
          <w:rFonts w:asciiTheme="minorHAnsi" w:hAnsiTheme="minorHAnsi" w:cstheme="minorHAnsi"/>
          <w:sz w:val="22"/>
          <w:szCs w:val="22"/>
        </w:rPr>
        <w:t>, skutkuje brakiem klasyfikacji zawodnika na liście wyników. Zostaje przyznawana za:</w:t>
      </w:r>
    </w:p>
    <w:p w14:paraId="7EA24D6C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celowe podbieganie z wyraźną fazą lotną;</w:t>
      </w:r>
    </w:p>
    <w:p w14:paraId="338131E1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niesportowe zachowanie w stosunku do innych zawodników i sędziów;</w:t>
      </w:r>
    </w:p>
    <w:p w14:paraId="7E635223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 xml:space="preserve">wulgarne zachowanie w stosunku do innych zawodników, sędziów czy kibiców; </w:t>
      </w:r>
    </w:p>
    <w:p w14:paraId="4352FAE8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stwarzanie swoim zachowaniem zagrożenia dla zdrowa innych zawodników i ich sprzętu;</w:t>
      </w:r>
    </w:p>
    <w:p w14:paraId="6170693A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celowe utrudnianie marszu innym zawodnikom;</w:t>
      </w:r>
    </w:p>
    <w:p w14:paraId="3081B2D5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poruszanie się poza trasą;</w:t>
      </w:r>
    </w:p>
    <w:p w14:paraId="7AB66A45" w14:textId="77777777" w:rsidR="001F7892" w:rsidRPr="00FB3A89" w:rsidRDefault="00103C16">
      <w:pPr>
        <w:pStyle w:val="Akapitzlist"/>
        <w:numPr>
          <w:ilvl w:val="0"/>
          <w:numId w:val="5"/>
        </w:numPr>
        <w:spacing w:after="27" w:line="276" w:lineRule="auto"/>
        <w:ind w:left="1134" w:hanging="567"/>
        <w:jc w:val="both"/>
        <w:rPr>
          <w:rFonts w:cstheme="minorHAnsi"/>
          <w:color w:val="000000"/>
        </w:rPr>
      </w:pPr>
      <w:r w:rsidRPr="00FB3A89">
        <w:rPr>
          <w:rFonts w:cstheme="minorHAnsi"/>
          <w:color w:val="000000"/>
        </w:rPr>
        <w:t>skracanie dystansu.</w:t>
      </w:r>
    </w:p>
    <w:p w14:paraId="4317D18D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Zawodnik jest informowany o przyznaniu czerwonej kartki przez sędziego poprzez ustny komunikat zawierający zwrot „czerwona kartka”, skierowany do zawodnika (wywołanego po numerze startowym) pokazanie mu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 xml:space="preserve">CZERWONEJ KARTKI </w:t>
      </w:r>
      <w:r w:rsidRPr="00FB3A89">
        <w:rPr>
          <w:rFonts w:asciiTheme="minorHAnsi" w:hAnsiTheme="minorHAnsi" w:cstheme="minorHAnsi"/>
          <w:sz w:val="22"/>
          <w:szCs w:val="22"/>
        </w:rPr>
        <w:t xml:space="preserve">i poinformowanie zawodnika o rodzaju popełnionego błędu. </w:t>
      </w:r>
    </w:p>
    <w:p w14:paraId="03CEEB10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Sędziowie mają obowiązek naniesienia informacji o udzielonych zawodnikom upomnieniach i karach na specjalnej tablicy przed ogłoszeniem nieoficjalnych wyników. Zawodnik jest zobowiązany jest do tego, by znać swój numer startowy, a także do sprawdzenia tablicy informacyjnej, na której umieszczane będą informacje o upomnieniach i karach (podany będzie numer startowy).</w:t>
      </w:r>
    </w:p>
    <w:p w14:paraId="341C7A50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Protesty dotyczące wyniku uzyskanego na zawodach należy zgłaszać w ciągu 30 minut od momentu ogłoszenia nieoficjalnych wyników.</w:t>
      </w:r>
    </w:p>
    <w:p w14:paraId="438D1D10" w14:textId="77777777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Każdy protest należy w pierwszej kolejności zgłaszać ustnie do Sędziego Głównego zawodów przez samego zawodnika lub przez osobę działającą w jego imieniu.</w:t>
      </w:r>
    </w:p>
    <w:p w14:paraId="17A0CC07" w14:textId="4728EC24" w:rsidR="001F7892" w:rsidRPr="00FB3A89" w:rsidRDefault="00103C16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>Od decyzji podjętej przez Sędziego Głównego przysługuje prawo odwołania się do Organizatora – złożenia oficjalnego protestu zgodnie z regulaminem 1</w:t>
      </w:r>
      <w:r w:rsidR="00FB3A89" w:rsidRPr="00FB3A89">
        <w:rPr>
          <w:rFonts w:asciiTheme="minorHAnsi" w:hAnsiTheme="minorHAnsi" w:cstheme="minorHAnsi"/>
          <w:sz w:val="22"/>
          <w:szCs w:val="22"/>
        </w:rPr>
        <w:t>1</w:t>
      </w:r>
      <w:r w:rsidRPr="00FB3A89">
        <w:rPr>
          <w:rFonts w:asciiTheme="minorHAnsi" w:hAnsiTheme="minorHAnsi" w:cstheme="minorHAnsi"/>
          <w:sz w:val="22"/>
          <w:szCs w:val="22"/>
        </w:rPr>
        <w:t>. TAURON Festiwalu Biegowego.</w:t>
      </w:r>
    </w:p>
    <w:p w14:paraId="712F0012" w14:textId="3F3D97A8" w:rsidR="001F7892" w:rsidRPr="00FB3A89" w:rsidRDefault="00103C16" w:rsidP="00FB3A89">
      <w:pPr>
        <w:pStyle w:val="Default"/>
        <w:numPr>
          <w:ilvl w:val="0"/>
          <w:numId w:val="2"/>
        </w:numPr>
        <w:tabs>
          <w:tab w:val="left" w:pos="567"/>
        </w:tabs>
        <w:spacing w:before="120" w:after="1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B3A89">
        <w:rPr>
          <w:rFonts w:asciiTheme="minorHAnsi" w:hAnsiTheme="minorHAnsi" w:cstheme="minorHAnsi"/>
          <w:sz w:val="22"/>
          <w:szCs w:val="22"/>
        </w:rPr>
        <w:t xml:space="preserve">W sprawach nieokreślonych w przepisach sędziowania, wszelkie wnioski pisemne / ustne należy kierować do </w:t>
      </w:r>
      <w:r w:rsidRPr="00FB3A89">
        <w:rPr>
          <w:rFonts w:asciiTheme="minorHAnsi" w:hAnsiTheme="minorHAnsi" w:cstheme="minorHAnsi"/>
          <w:b/>
          <w:bCs/>
          <w:sz w:val="22"/>
          <w:szCs w:val="22"/>
        </w:rPr>
        <w:t>Organizatora.</w:t>
      </w:r>
    </w:p>
    <w:sectPr w:rsidR="001F7892" w:rsidRPr="00FB3A89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E1D9" w14:textId="77777777" w:rsidR="00103C16" w:rsidRDefault="00103C16">
      <w:pPr>
        <w:spacing w:after="0" w:line="240" w:lineRule="auto"/>
      </w:pPr>
      <w:r>
        <w:separator/>
      </w:r>
    </w:p>
  </w:endnote>
  <w:endnote w:type="continuationSeparator" w:id="0">
    <w:p w14:paraId="1039B606" w14:textId="77777777" w:rsidR="00103C16" w:rsidRDefault="0010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671485"/>
      <w:docPartObj>
        <w:docPartGallery w:val="Page Numbers (Top of Page)"/>
        <w:docPartUnique/>
      </w:docPartObj>
    </w:sdtPr>
    <w:sdtEndPr/>
    <w:sdtContent>
      <w:p w14:paraId="17690EF9" w14:textId="77777777" w:rsidR="001F7892" w:rsidRDefault="00103C16">
        <w:pPr>
          <w:pStyle w:val="Stopka"/>
          <w:jc w:val="right"/>
        </w:pPr>
        <w:r>
          <w:rPr>
            <w:rFonts w:asciiTheme="minorBidi" w:hAnsiTheme="minorBidi"/>
          </w:rPr>
          <w:t xml:space="preserve">Strona </w:t>
        </w:r>
        <w:r>
          <w:rPr>
            <w:rFonts w:asciiTheme="minorBidi" w:hAnsiTheme="minorBidi"/>
            <w:b/>
            <w:bCs/>
            <w:sz w:val="24"/>
            <w:szCs w:val="24"/>
          </w:rPr>
          <w:fldChar w:fldCharType="begin"/>
        </w:r>
        <w:r>
          <w:rPr>
            <w:rFonts w:ascii="Arial" w:hAnsi="Arial"/>
            <w:b/>
            <w:bCs/>
            <w:sz w:val="24"/>
            <w:szCs w:val="24"/>
          </w:rPr>
          <w:instrText>PAGE</w:instrText>
        </w:r>
        <w:r>
          <w:rPr>
            <w:rFonts w:ascii="Arial" w:hAnsi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/>
            <w:b/>
            <w:bCs/>
            <w:sz w:val="24"/>
            <w:szCs w:val="24"/>
          </w:rPr>
          <w:t>2</w:t>
        </w:r>
        <w:r>
          <w:rPr>
            <w:rFonts w:ascii="Arial" w:hAnsi="Arial"/>
            <w:b/>
            <w:bCs/>
            <w:sz w:val="24"/>
            <w:szCs w:val="24"/>
          </w:rPr>
          <w:fldChar w:fldCharType="end"/>
        </w:r>
        <w:r>
          <w:rPr>
            <w:rFonts w:asciiTheme="minorBidi" w:hAnsiTheme="minorBidi"/>
          </w:rPr>
          <w:t xml:space="preserve"> z </w:t>
        </w:r>
        <w:r>
          <w:rPr>
            <w:rFonts w:asciiTheme="minorBidi" w:hAnsiTheme="minorBidi"/>
            <w:b/>
            <w:bCs/>
            <w:sz w:val="24"/>
            <w:szCs w:val="24"/>
          </w:rPr>
          <w:fldChar w:fldCharType="begin"/>
        </w:r>
        <w:r>
          <w:rPr>
            <w:rFonts w:ascii="Arial" w:hAnsi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/>
            <w:b/>
            <w:bCs/>
            <w:sz w:val="24"/>
            <w:szCs w:val="24"/>
          </w:rPr>
          <w:t>4</w:t>
        </w:r>
        <w:r>
          <w:rPr>
            <w:rFonts w:ascii="Arial" w:hAnsi="Arial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B7FD" w14:textId="77777777" w:rsidR="00103C16" w:rsidRDefault="00103C16">
      <w:pPr>
        <w:spacing w:after="0" w:line="240" w:lineRule="auto"/>
      </w:pPr>
      <w:r>
        <w:separator/>
      </w:r>
    </w:p>
  </w:footnote>
  <w:footnote w:type="continuationSeparator" w:id="0">
    <w:p w14:paraId="530EFE45" w14:textId="77777777" w:rsidR="00103C16" w:rsidRDefault="0010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CB6"/>
    <w:multiLevelType w:val="multilevel"/>
    <w:tmpl w:val="1616B3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268D7"/>
    <w:multiLevelType w:val="multilevel"/>
    <w:tmpl w:val="A3B4E23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F72110"/>
    <w:multiLevelType w:val="multilevel"/>
    <w:tmpl w:val="3C7A6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E0285"/>
    <w:multiLevelType w:val="multilevel"/>
    <w:tmpl w:val="9AA659F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6C10E8"/>
    <w:multiLevelType w:val="multilevel"/>
    <w:tmpl w:val="7DEE9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0C69CC"/>
    <w:multiLevelType w:val="multilevel"/>
    <w:tmpl w:val="20D299F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92"/>
    <w:rsid w:val="00103C16"/>
    <w:rsid w:val="001F7892"/>
    <w:rsid w:val="00314616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CC4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51A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E51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21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21E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21E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21E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48E2"/>
  </w:style>
  <w:style w:type="character" w:customStyle="1" w:styleId="StopkaZnak">
    <w:name w:val="Stopka Znak"/>
    <w:basedOn w:val="Domylnaczcionkaakapitu"/>
    <w:link w:val="Stopka"/>
    <w:uiPriority w:val="99"/>
    <w:qFormat/>
    <w:rsid w:val="004C48E2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4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917D2F"/>
    <w:rPr>
      <w:rFonts w:ascii="Comic Sans MS" w:eastAsia="Calibri" w:hAnsi="Comic Sans MS" w:cs="Comic Sans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D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A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21E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21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21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C48E2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0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1101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dc:description/>
  <cp:lastModifiedBy>Kamila_Laskowska</cp:lastModifiedBy>
  <cp:revision>6</cp:revision>
  <cp:lastPrinted>2018-06-25T08:05:00Z</cp:lastPrinted>
  <dcterms:created xsi:type="dcterms:W3CDTF">2019-06-10T15:02:00Z</dcterms:created>
  <dcterms:modified xsi:type="dcterms:W3CDTF">2020-08-11T14:40:00Z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